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sdt>
      <w:sdtPr>
        <w:tag w:val="goog_rdk_0"/>
      </w:sdtPr>
      <w:sdtContent>
        <w:p w:rsidR="00000000" w:rsidDel="00000000" w:rsidP="00000000" w:rsidRDefault="00000000" w:rsidRPr="00000000" w14:paraId="00000001">
          <w:pPr>
            <w:spacing w:after="0" w:line="240" w:lineRule="auto"/>
            <w:jc w:val="both"/>
            <w:rPr>
              <w:rFonts w:ascii="Times New Roman" w:cs="Times New Roman" w:eastAsia="Times New Roman" w:hAnsi="Times New Roman"/>
              <w:b w:val="1"/>
              <w:sz w:val="36"/>
              <w:szCs w:val="36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color w:val="0563c1"/>
              <w:rtl w:val="0"/>
            </w:rPr>
            <w:t xml:space="preserve">Calendarul de implementare al reformelor</w:t>
          </w:r>
          <w:r w:rsidDel="00000000" w:rsidR="00000000" w:rsidRPr="00000000">
            <w:rPr>
              <w:rtl w:val="0"/>
            </w:rPr>
          </w:r>
        </w:p>
      </w:sdtContent>
    </w:sdt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1"/>
        <w:tblW w:w="14190.0" w:type="dxa"/>
        <w:jc w:val="center"/>
        <w:tblLayout w:type="fixed"/>
        <w:tblLook w:val="0400"/>
      </w:tblPr>
      <w:tblGrid>
        <w:gridCol w:w="2175"/>
        <w:gridCol w:w="585"/>
        <w:gridCol w:w="525"/>
        <w:gridCol w:w="540"/>
        <w:gridCol w:w="615"/>
        <w:gridCol w:w="555"/>
        <w:gridCol w:w="510"/>
        <w:gridCol w:w="495"/>
        <w:gridCol w:w="600"/>
        <w:gridCol w:w="540"/>
        <w:gridCol w:w="540"/>
        <w:gridCol w:w="540"/>
        <w:gridCol w:w="540"/>
        <w:gridCol w:w="540"/>
        <w:gridCol w:w="540"/>
        <w:gridCol w:w="495"/>
        <w:gridCol w:w="495"/>
        <w:gridCol w:w="555"/>
        <w:gridCol w:w="555"/>
        <w:gridCol w:w="585"/>
        <w:gridCol w:w="510"/>
        <w:gridCol w:w="585"/>
        <w:gridCol w:w="570"/>
        <w:tblGridChange w:id="0">
          <w:tblGrid>
            <w:gridCol w:w="2175"/>
            <w:gridCol w:w="585"/>
            <w:gridCol w:w="525"/>
            <w:gridCol w:w="540"/>
            <w:gridCol w:w="615"/>
            <w:gridCol w:w="555"/>
            <w:gridCol w:w="510"/>
            <w:gridCol w:w="495"/>
            <w:gridCol w:w="600"/>
            <w:gridCol w:w="540"/>
            <w:gridCol w:w="540"/>
            <w:gridCol w:w="540"/>
            <w:gridCol w:w="540"/>
            <w:gridCol w:w="540"/>
            <w:gridCol w:w="540"/>
            <w:gridCol w:w="495"/>
            <w:gridCol w:w="495"/>
            <w:gridCol w:w="555"/>
            <w:gridCol w:w="555"/>
            <w:gridCol w:w="585"/>
            <w:gridCol w:w="510"/>
            <w:gridCol w:w="585"/>
            <w:gridCol w:w="5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 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0" w:line="240" w:lineRule="auto"/>
              <w:ind w:right="187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 Reforma 1 (R1):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Transport sustenabil, decarbonizare și siguranță rutieră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Adoptarea Strategiei de dezvoltare a infrastructurii feroviare 2021-2025 și aplicarea planului de acțiune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ff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ff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Adoptarea Strategiei Naționale privind Siguranța Rutieră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Adoptarea strategiei privind transportul  naval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Intrarea în vigoare a legii privind siguranța rutieră - legislație privind monitorizarea, consolidarea aplicării și sancționarea infracţiunilor în materie de siguranță rutieră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Intrarea în vigoare a legii pentru implementarea unui nou sistem de taxare pe baza  distanței pentru vehiculele grele (camioane) și introducerea de taxe mai mari pentru deținerea în proprietate a celor mai poluante vehicule de pasageri   (autoturisme / autobuze / autocare), pe baza principiului „poluatorul plătește” și a principiului taxării ecologice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Intrarea în vigoare a legii pentru stimularea utilizării vehiculelor ecologice și a programelor de reînnoire a parcului auto de către persoane fizice, companii private și instituții publice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Publicarea și implementarea planului național de acțiune privind ERTMS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T1.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Vehicule noi curate achiziționate de către entități publice, cu cel puțin 3% peste pragurile din Directiva privind Vehiculele Curate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Echipamente instalate și funcționale pentru a crește controlul asupra vitezei și respectarea normelor de siguranță rutieră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Casarea autovehicule poluante (sub EURO 3)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Creșterea numărului de vehicule cu emisii zero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Puncte de încărcare electrice instalate la nivel național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 Reducerea numărului de victime ale accidentelor rutiere (persoane grav rănite și decese) cu 25% față de nivelul de referință din 2019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 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Reforma 2 (R2):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Managementul calității bazat pe performanță în transport - Îmbunătățirea capacității instituționale și a guvernanței corporative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Intrarea în vigoare a Legii nr. 50/2021 pentru aprobarea Ordonanței de urgență nr. 55/2016 privind reorganizarea Companiei Naționale de Autostrăzi și Drumuri Naționale din România - S.A. (CNAIR) și înființarea Companiei Naționale de Investiții Rutiere - S.A. (CNIR)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Selecția și numirea membrilor Consiliilor de administrație ale C.N.I.R, CFR Infrastructură, Metrorex, CFR Călători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Implementarea principalelor recomandări pentru creșterea performanței financiare și operaționale a C.N.A.I.R., CFR, CFR Călători și Metrorex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Performanță îmbunătățită a serviciul de transport feroviar în ceea ce privește punctualitatea trenurilor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4472c4"/>
          <w:rtl w:val="0"/>
        </w:rPr>
        <w:t xml:space="preserve">Calendarul de implementare a investițiilor</w:t>
      </w:r>
    </w:p>
    <w:p w:rsidR="00000000" w:rsidDel="00000000" w:rsidP="00000000" w:rsidRDefault="00000000" w:rsidRPr="00000000" w14:paraId="0000021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4472c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250.0" w:type="dxa"/>
        <w:jc w:val="center"/>
        <w:tblLayout w:type="fixed"/>
        <w:tblLook w:val="0400"/>
      </w:tblPr>
      <w:tblGrid>
        <w:gridCol w:w="2310"/>
        <w:gridCol w:w="615"/>
        <w:gridCol w:w="570"/>
        <w:gridCol w:w="525"/>
        <w:gridCol w:w="510"/>
        <w:gridCol w:w="495"/>
        <w:gridCol w:w="495"/>
        <w:gridCol w:w="585"/>
        <w:gridCol w:w="585"/>
        <w:gridCol w:w="555"/>
        <w:gridCol w:w="525"/>
        <w:gridCol w:w="585"/>
        <w:gridCol w:w="525"/>
        <w:gridCol w:w="555"/>
        <w:gridCol w:w="510"/>
        <w:gridCol w:w="600"/>
        <w:gridCol w:w="540"/>
        <w:gridCol w:w="510"/>
        <w:gridCol w:w="510"/>
        <w:gridCol w:w="510"/>
        <w:gridCol w:w="525"/>
        <w:gridCol w:w="585"/>
        <w:gridCol w:w="525"/>
        <w:tblGridChange w:id="0">
          <w:tblGrid>
            <w:gridCol w:w="2310"/>
            <w:gridCol w:w="615"/>
            <w:gridCol w:w="570"/>
            <w:gridCol w:w="525"/>
            <w:gridCol w:w="510"/>
            <w:gridCol w:w="495"/>
            <w:gridCol w:w="495"/>
            <w:gridCol w:w="585"/>
            <w:gridCol w:w="585"/>
            <w:gridCol w:w="555"/>
            <w:gridCol w:w="525"/>
            <w:gridCol w:w="585"/>
            <w:gridCol w:w="525"/>
            <w:gridCol w:w="555"/>
            <w:gridCol w:w="510"/>
            <w:gridCol w:w="600"/>
            <w:gridCol w:w="540"/>
            <w:gridCol w:w="510"/>
            <w:gridCol w:w="510"/>
            <w:gridCol w:w="510"/>
            <w:gridCol w:w="525"/>
            <w:gridCol w:w="585"/>
            <w:gridCol w:w="5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 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Modernizarea și reînnoirea infrastructurii feroviare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Atribuirea contractelor pentru 50% din lucrări în urma licitațiilor deschise și competitive și a autorizațiilor relevante obținute, cu evaluarea impactului asupra mediului  - EIA (inclusiv evaluările necesare în temeiul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Directivei-Cadru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pentru Apă) și concluziile privind Evaluarea Adecvată (parte a Directivei Habitate), emise și încorporate în proiectarea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investițiilor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Atribuirea contractelor  pentru 100% din lucrări în urma licitațiilor deschise și competitive și a autorizațiilor relevante obținute, cu evaluarea impactului asupra mediului  - EIA (inclusiv evaluările necesare în temeiul Directivei-Cadru pentru Apă) și concluziile privind Evaluarea Adecvată (parte a Directivei Habitate), emise și încorporate în proiectarea investițiilor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8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Finalizarea lucrărilor pentru cel puțin 50% din investițiile totale în infrastructura feroviară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Kilometri de infrastructură feroviară operațională nouă / modernizată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 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E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 – 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Material rulant feroviar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F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Atribuirea contractelor în urma unor licitații deschise și competitive.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434343"/>
                <w:rtl w:val="0"/>
              </w:rPr>
              <w:t xml:space="preserve">T1.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Material rulant electric nou pus în funcţiune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 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5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I3 – Dezvoltarea infrastructurii rutiere sustenabile pe rețeaua TEN-T, taxarea rutieră, managementul traficului și siguranța rutieră</w:t>
            </w:r>
          </w:p>
          <w:p w:rsidR="00000000" w:rsidDel="00000000" w:rsidP="00000000" w:rsidRDefault="00000000" w:rsidRPr="00000000" w14:paraId="0000035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M1.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Atribuirea contractelor pentru 100% din lucrări, în urma licitațiilor deschise și competitive și a autorizațiilor relevante obținute, cu  EIA (Evaluarea Impactului asupra Mediului) şi concluziile privind Evaluarea Adecvată (parte a Directivei Habitate), emise și încorporate în proiectarea investițiilor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T1.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Construirea de infrastructură rutieră nouă - 50% din  lucrările complete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Finalizarea construirii de drumuri noi (la standarde TEN-T)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Punctele negre privind siguranţa rutieră eliminate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C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Q1 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D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 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Q3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F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I4 – Dezvoltarea rețelei de transport cu metroul în Municipiile București și Cluj-Napoca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Atribuirea a 50% din contracte, în urma licitațiilor deschise și competitive și a permiselor relevante obținute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Atribuirea a 100% din contracte, în urma licitațiilor deschise și competitive și a permiselor relevante obținute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Finalizarea investițiilor pentru cel puțin 50% din investițiilor liniilor de metrou din București și Cluj-Napoca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Kilometri finalizați pentru investițiile în linii de metrou din București și Cluj-Napoca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dd7ee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6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Construirea a 50% din investițiile în linii de metrou din București și Cluj-Napoca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8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4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86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o-R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link w:val="Heading2Char"/>
    <w:uiPriority w:val="9"/>
    <w:semiHidden w:val="1"/>
    <w:unhideWhenUsed w:val="1"/>
    <w:qFormat w:val="1"/>
    <w:rsid w:val="001B6BDE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ro-RO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Heading2Char" w:customStyle="1">
    <w:name w:val="Heading 2 Char"/>
    <w:basedOn w:val="DefaultParagraphFont"/>
    <w:link w:val="Heading2"/>
    <w:uiPriority w:val="9"/>
    <w:rsid w:val="001B6BDE"/>
    <w:rPr>
      <w:rFonts w:ascii="Times New Roman" w:cs="Times New Roman" w:eastAsia="Times New Roman" w:hAnsi="Times New Roman"/>
      <w:b w:val="1"/>
      <w:bCs w:val="1"/>
      <w:sz w:val="36"/>
      <w:szCs w:val="36"/>
      <w:lang w:eastAsia="ro-RO"/>
    </w:rPr>
  </w:style>
  <w:style w:type="paragraph" w:styleId="msonormal0" w:customStyle="1">
    <w:name w:val="msonormal"/>
    <w:basedOn w:val="Normal"/>
    <w:rsid w:val="001B6BD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semiHidden w:val="1"/>
    <w:unhideWhenUsed w:val="1"/>
    <w:rsid w:val="001B6BD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o-RO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mZ81YQS9nE660H9K49xhvXZWvQ==">AMUW2mWWKnmpkdoLSW2dVuLPb1YBb5ggKA6MAOdlIgkrPQz9Xww8J+dmP9Zt+oW/2Ozv+pmiaj4U6N88xmdsn5dmeg2IgU/Xdxf02iiC2v9niV3xv44PBpJuu/tN6x3r9E7033MyQOOK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2021-05-28T13:03:00Z</dcterms:created>
  <dc:creator>MADALINA TEODOR</dc:creator>
</cp:coreProperties>
</file>